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Georgia" w:cs="Georgia" w:eastAsia="Georgia" w:hAnsi="Georgia"/>
          <w:color w:val="1D1A17"/>
          <w:sz w:val="40"/>
          <w:szCs w:val="40"/>
        </w:rPr>
        <w:t xml:space="preserve">AI at </w:t>
      </w:r>
      <w:r>
        <w:rPr>
          <w:rFonts w:ascii="Georgia" w:cs="Georgia" w:eastAsia="Georgia" w:hAnsi="Georgia"/>
          <w:color w:val="1D1A17"/>
          <w:sz w:val="40"/>
          <w:szCs w:val="40"/>
          <w:highlight w:val="yellow"/>
        </w:rPr>
        <w:t xml:space="preserve">[School name]</w:t>
      </w:r>
      <w:r>
        <w:rPr>
          <w:rFonts w:ascii="Georgia" w:cs="Georgia" w:eastAsia="Georgia" w:hAnsi="Georgia"/>
          <w:color w:val="1D1A17"/>
          <w:sz w:val="40"/>
          <w:szCs w:val="40"/>
        </w:rPr>
        <w:t xml:space="preserve">: position and assurance</w:t>
      </w:r>
    </w:p>
    <w:p>
      <w:pPr>
        <w:keepNext/>
        <w:spacing w:after="140" w:line="290"/>
      </w:pPr>
      <w:r>
        <w:rPr>
          <w:rFonts w:ascii="Arial" w:cs="Arial" w:eastAsia="Arial" w:hAnsi="Arial"/>
          <w:color w:val="1D1A17"/>
          <w:sz w:val="21"/>
          <w:szCs w:val="21"/>
        </w:rPr>
        <w:t xml:space="preserve">One page, once a term. </w:t>
      </w:r>
      <w:r>
        <w:rPr>
          <w:rFonts w:ascii="Arial" w:cs="Arial" w:eastAsia="Arial" w:hAnsi="Arial"/>
          <w:color w:val="1D1A17"/>
          <w:sz w:val="21"/>
          <w:szCs w:val="21"/>
          <w:highlight w:val="yellow"/>
        </w:rPr>
        <w:t xml:space="preserve">[Term and year]</w:t>
      </w:r>
      <w:r>
        <w:rPr>
          <w:rFonts w:ascii="Arial" w:cs="Arial" w:eastAsia="Arial" w:hAnsi="Arial"/>
          <w:color w:val="1D1A17"/>
          <w:sz w:val="21"/>
          <w:szCs w:val="21"/>
        </w:rPr>
        <w:t xml:space="preserve">. Prepared by the </w:t>
      </w:r>
      <w:r>
        <w:rPr>
          <w:rFonts w:ascii="Arial" w:cs="Arial" w:eastAsia="Arial" w:hAnsi="Arial"/>
          <w:color w:val="1D1A17"/>
          <w:sz w:val="21"/>
          <w:szCs w:val="21"/>
          <w:highlight w:val="yellow"/>
        </w:rPr>
        <w:t xml:space="preserve">[policy owner role]</w:t>
      </w:r>
      <w:r>
        <w:rPr>
          <w:rFonts w:ascii="Arial" w:cs="Arial" w:eastAsia="Arial" w:hAnsi="Arial"/>
          <w:color w:val="1D1A17"/>
          <w:sz w:val="21"/>
          <w:szCs w:val="21"/>
        </w:rPr>
        <w:t xml:space="preserve">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53"/>
        <w:gridCol w:w="4653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D1A17"/>
                <w:sz w:val="18"/>
                <w:szCs w:val="18"/>
              </w:rPr>
              <w:t xml:space="preserve">What is in use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D1A17"/>
                <w:sz w:val="18"/>
                <w:szCs w:val="18"/>
                <w:highlight w:val="yellow"/>
              </w:rPr>
              <w:t xml:space="preserve">[count]</w:t>
            </w:r>
            <w:r>
              <w:rPr>
                <w:rFonts w:ascii="Arial" w:cs="Arial" w:eastAsia="Arial" w:hAnsi="Arial"/>
                <w:b w:val="false"/>
                <w:bCs w:val="false"/>
                <w:color w:val="1D1A17"/>
                <w:sz w:val="18"/>
                <w:szCs w:val="18"/>
              </w:rPr>
              <w:t xml:space="preserve"> approved tools on a live register. The audit found </w:t>
            </w:r>
            <w:r>
              <w:rPr>
                <w:rFonts w:ascii="Arial" w:cs="Arial" w:eastAsia="Arial" w:hAnsi="Arial"/>
                <w:b w:val="false"/>
                <w:bCs w:val="false"/>
                <w:color w:val="1D1A17"/>
                <w:sz w:val="18"/>
                <w:szCs w:val="18"/>
                <w:highlight w:val="yellow"/>
              </w:rPr>
              <w:t xml:space="preserve">[count]</w:t>
            </w:r>
            <w:r>
              <w:rPr>
                <w:rFonts w:ascii="Arial" w:cs="Arial" w:eastAsia="Arial" w:hAnsi="Arial"/>
                <w:b w:val="false"/>
                <w:bCs w:val="false"/>
                <w:color w:val="1D1A17"/>
                <w:sz w:val="18"/>
                <w:szCs w:val="18"/>
              </w:rPr>
              <w:t xml:space="preserve"> tools in informal use, now resolved.</w:t>
            </w:r>
          </w:p>
        </w:tc>
      </w:tr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D1A17"/>
                <w:sz w:val="18"/>
                <w:szCs w:val="18"/>
              </w:rPr>
              <w:t xml:space="preserve">Our position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D1A17"/>
                <w:sz w:val="18"/>
                <w:szCs w:val="18"/>
              </w:rPr>
              <w:t xml:space="preserve">Staff use: </w:t>
            </w:r>
            <w:r>
              <w:rPr>
                <w:rFonts w:ascii="Arial" w:cs="Arial" w:eastAsia="Arial" w:hAnsi="Arial"/>
                <w:b w:val="false"/>
                <w:bCs w:val="false"/>
                <w:color w:val="1D1A17"/>
                <w:sz w:val="18"/>
                <w:szCs w:val="18"/>
                <w:highlight w:val="yellow"/>
              </w:rPr>
              <w:t xml:space="preserve">[approved tools only / permitted with rules / case by case]</w:t>
            </w:r>
            <w:r>
              <w:rPr>
                <w:rFonts w:ascii="Arial" w:cs="Arial" w:eastAsia="Arial" w:hAnsi="Arial"/>
                <w:b w:val="false"/>
                <w:bCs w:val="false"/>
                <w:color w:val="1D1A17"/>
                <w:sz w:val="18"/>
                <w:szCs w:val="18"/>
              </w:rPr>
              <w:t xml:space="preserve">. Pupil use: </w:t>
            </w:r>
            <w:r>
              <w:rPr>
                <w:rFonts w:ascii="Arial" w:cs="Arial" w:eastAsia="Arial" w:hAnsi="Arial"/>
                <w:b w:val="false"/>
                <w:bCs w:val="false"/>
                <w:color w:val="1D1A17"/>
                <w:sz w:val="18"/>
                <w:szCs w:val="18"/>
                <w:highlight w:val="yellow"/>
              </w:rPr>
              <w:t xml:space="preserve">[stance]</w:t>
            </w:r>
            <w:r>
              <w:rPr>
                <w:rFonts w:ascii="Arial" w:cs="Arial" w:eastAsia="Arial" w:hAnsi="Arial"/>
                <w:b w:val="false"/>
                <w:bCs w:val="false"/>
                <w:color w:val="1D1A17"/>
                <w:sz w:val="18"/>
                <w:szCs w:val="18"/>
              </w:rPr>
              <w:t xml:space="preserve">.</w:t>
            </w:r>
          </w:p>
        </w:tc>
      </w:tr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D1A17"/>
                <w:sz w:val="18"/>
                <w:szCs w:val="18"/>
              </w:rPr>
              <w:t xml:space="preserve">The policy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D1A17"/>
                <w:sz w:val="18"/>
                <w:szCs w:val="18"/>
              </w:rPr>
              <w:t xml:space="preserve">Approved </w:t>
            </w:r>
            <w:r>
              <w:rPr>
                <w:rFonts w:ascii="Arial" w:cs="Arial" w:eastAsia="Arial" w:hAnsi="Arial"/>
                <w:b w:val="false"/>
                <w:bCs w:val="false"/>
                <w:color w:val="1D1A17"/>
                <w:sz w:val="18"/>
                <w:szCs w:val="18"/>
                <w:highlight w:val="yellow"/>
              </w:rPr>
              <w:t xml:space="preserve">[date]</w:t>
            </w:r>
            <w:r>
              <w:rPr>
                <w:rFonts w:ascii="Arial" w:cs="Arial" w:eastAsia="Arial" w:hAnsi="Arial"/>
                <w:b w:val="false"/>
                <w:bCs w:val="false"/>
                <w:color w:val="1D1A17"/>
                <w:sz w:val="18"/>
                <w:szCs w:val="18"/>
              </w:rPr>
              <w:t xml:space="preserve">. Owner: </w:t>
            </w:r>
            <w:r>
              <w:rPr>
                <w:rFonts w:ascii="Arial" w:cs="Arial" w:eastAsia="Arial" w:hAnsi="Arial"/>
                <w:b w:val="false"/>
                <w:bCs w:val="false"/>
                <w:color w:val="1D1A17"/>
                <w:sz w:val="18"/>
                <w:szCs w:val="18"/>
                <w:highlight w:val="yellow"/>
              </w:rPr>
              <w:t xml:space="preserve">[role]</w:t>
            </w:r>
            <w:r>
              <w:rPr>
                <w:rFonts w:ascii="Arial" w:cs="Arial" w:eastAsia="Arial" w:hAnsi="Arial"/>
                <w:b w:val="false"/>
                <w:bCs w:val="false"/>
                <w:color w:val="1D1A17"/>
                <w:sz w:val="18"/>
                <w:szCs w:val="18"/>
              </w:rPr>
              <w:t xml:space="preserve">. Next review: </w:t>
            </w:r>
            <w:r>
              <w:rPr>
                <w:rFonts w:ascii="Arial" w:cs="Arial" w:eastAsia="Arial" w:hAnsi="Arial"/>
                <w:b w:val="false"/>
                <w:bCs w:val="false"/>
                <w:color w:val="1D1A17"/>
                <w:sz w:val="18"/>
                <w:szCs w:val="18"/>
                <w:highlight w:val="yellow"/>
              </w:rPr>
              <w:t xml:space="preserve">[date]</w:t>
            </w:r>
            <w:r>
              <w:rPr>
                <w:rFonts w:ascii="Arial" w:cs="Arial" w:eastAsia="Arial" w:hAnsi="Arial"/>
                <w:b w:val="false"/>
                <w:bCs w:val="false"/>
                <w:color w:val="1D1A17"/>
                <w:sz w:val="18"/>
                <w:szCs w:val="18"/>
              </w:rPr>
              <w:t xml:space="preserve">. Clause library v1.0.</w:t>
            </w:r>
          </w:p>
        </w:tc>
      </w:tr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D1A17"/>
                <w:sz w:val="18"/>
                <w:szCs w:val="18"/>
              </w:rPr>
              <w:t xml:space="preserve">Checks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D1A17"/>
                <w:sz w:val="18"/>
                <w:szCs w:val="18"/>
              </w:rPr>
              <w:t xml:space="preserve">DPIAs completed or underway for every tool that touches personal data. Filtering and monitoring review: </w:t>
            </w:r>
            <w:r>
              <w:rPr>
                <w:rFonts w:ascii="Arial" w:cs="Arial" w:eastAsia="Arial" w:hAnsi="Arial"/>
                <w:b w:val="false"/>
                <w:bCs w:val="false"/>
                <w:color w:val="1D1A17"/>
                <w:sz w:val="18"/>
                <w:szCs w:val="18"/>
                <w:highlight w:val="yellow"/>
              </w:rPr>
              <w:t xml:space="preserve">[date]</w:t>
            </w:r>
            <w:r>
              <w:rPr>
                <w:rFonts w:ascii="Arial" w:cs="Arial" w:eastAsia="Arial" w:hAnsi="Arial"/>
                <w:b w:val="false"/>
                <w:bCs w:val="false"/>
                <w:color w:val="1D1A17"/>
                <w:sz w:val="18"/>
                <w:szCs w:val="18"/>
              </w:rPr>
              <w:t xml:space="preserve">; the provider's written answer on AI-generated content: </w:t>
            </w:r>
            <w:r>
              <w:rPr>
                <w:rFonts w:ascii="Arial" w:cs="Arial" w:eastAsia="Arial" w:hAnsi="Arial"/>
                <w:b w:val="false"/>
                <w:bCs w:val="false"/>
                <w:color w:val="1D1A17"/>
                <w:sz w:val="18"/>
                <w:szCs w:val="18"/>
                <w:highlight w:val="yellow"/>
              </w:rPr>
              <w:t xml:space="preserve">[held / requested on date / not yet asked]</w:t>
            </w:r>
            <w:r>
              <w:rPr>
                <w:rFonts w:ascii="Arial" w:cs="Arial" w:eastAsia="Arial" w:hAnsi="Arial"/>
                <w:b w:val="false"/>
                <w:bCs w:val="false"/>
                <w:color w:val="1D1A17"/>
                <w:sz w:val="18"/>
                <w:szCs w:val="18"/>
              </w:rPr>
              <w:t xml:space="preserve">.</w:t>
            </w:r>
          </w:p>
        </w:tc>
      </w:tr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D1A17"/>
                <w:sz w:val="18"/>
                <w:szCs w:val="18"/>
              </w:rPr>
              <w:t xml:space="preserve">Training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D1A17"/>
                <w:sz w:val="18"/>
                <w:szCs w:val="18"/>
                <w:highlight w:val="yellow"/>
              </w:rPr>
              <w:t xml:space="preserve">[count]</w:t>
            </w:r>
            <w:r>
              <w:rPr>
                <w:rFonts w:ascii="Arial" w:cs="Arial" w:eastAsia="Arial" w:hAnsi="Arial"/>
                <w:b w:val="false"/>
                <w:bCs w:val="false"/>
                <w:color w:val="1D1A17"/>
                <w:sz w:val="18"/>
                <w:szCs w:val="18"/>
              </w:rPr>
              <w:t xml:space="preserve"> staff trained on the policy this year; new starters trained at induction; record held by </w:t>
            </w:r>
            <w:r>
              <w:rPr>
                <w:rFonts w:ascii="Arial" w:cs="Arial" w:eastAsia="Arial" w:hAnsi="Arial"/>
                <w:b w:val="false"/>
                <w:bCs w:val="false"/>
                <w:color w:val="1D1A17"/>
                <w:sz w:val="18"/>
                <w:szCs w:val="18"/>
                <w:highlight w:val="yellow"/>
              </w:rPr>
              <w:t xml:space="preserve">[role]</w:t>
            </w:r>
            <w:r>
              <w:rPr>
                <w:rFonts w:ascii="Arial" w:cs="Arial" w:eastAsia="Arial" w:hAnsi="Arial"/>
                <w:b w:val="false"/>
                <w:bCs w:val="false"/>
                <w:color w:val="1D1A17"/>
                <w:sz w:val="18"/>
                <w:szCs w:val="18"/>
              </w:rPr>
              <w:t xml:space="preserve">.</w:t>
            </w:r>
          </w:p>
        </w:tc>
      </w:tr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D1A17"/>
                <w:sz w:val="18"/>
                <w:szCs w:val="18"/>
              </w:rPr>
              <w:t xml:space="preserve">Incidents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D1A17"/>
                <w:sz w:val="18"/>
                <w:szCs w:val="18"/>
                <w:highlight w:val="yellow"/>
              </w:rPr>
              <w:t xml:space="preserve">[count]</w:t>
            </w:r>
            <w:r>
              <w:rPr>
                <w:rFonts w:ascii="Arial" w:cs="Arial" w:eastAsia="Arial" w:hAnsi="Arial"/>
                <w:b w:val="false"/>
                <w:bCs w:val="false"/>
                <w:color w:val="1D1A17"/>
                <w:sz w:val="18"/>
                <w:szCs w:val="18"/>
              </w:rPr>
              <w:t xml:space="preserve"> AI-related concerns this term, handled under </w:t>
            </w:r>
            <w:r>
              <w:rPr>
                <w:rFonts w:ascii="Arial" w:cs="Arial" w:eastAsia="Arial" w:hAnsi="Arial"/>
                <w:b w:val="false"/>
                <w:bCs w:val="false"/>
                <w:color w:val="1D1A17"/>
                <w:sz w:val="18"/>
                <w:szCs w:val="18"/>
                <w:highlight w:val="yellow"/>
              </w:rPr>
              <w:t xml:space="preserve">[the child protection policy / the data breach procedure / the malpractice policy]</w:t>
            </w:r>
            <w:r>
              <w:rPr>
                <w:rFonts w:ascii="Arial" w:cs="Arial" w:eastAsia="Arial" w:hAnsi="Arial"/>
                <w:b w:val="false"/>
                <w:bCs w:val="false"/>
                <w:color w:val="1D1A17"/>
                <w:sz w:val="18"/>
                <w:szCs w:val="18"/>
              </w:rPr>
              <w:t xml:space="preserve">.</w:t>
            </w:r>
          </w:p>
        </w:tc>
      </w:tr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D1A17"/>
                <w:sz w:val="18"/>
                <w:szCs w:val="18"/>
              </w:rPr>
              <w:t xml:space="preserve">Open items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D1A17"/>
                <w:sz w:val="18"/>
                <w:szCs w:val="18"/>
                <w:highlight w:val="yellow"/>
              </w:rPr>
              <w:t xml:space="preserve">[The honest two or three.]</w:t>
            </w:r>
          </w:p>
        </w:tc>
      </w:tr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D1A17"/>
                <w:sz w:val="18"/>
                <w:szCs w:val="18"/>
              </w:rPr>
              <w:t xml:space="preserve">What we ask of governors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CBD2DB" w:sz="4"/>
              <w:right w:val="none" w:color="FFFFFF" w:sz="0"/>
            </w:tcBorders>
            <w:tcMar>
              <w:top w:type="dxa" w:w="70"/>
              <w:left w:type="dxa" w:w="60"/>
              <w:bottom w:type="dxa" w:w="70"/>
              <w:right w:type="dxa" w:w="120"/>
            </w:tcMar>
          </w:tcPr>
          <w:p>
            <w:pPr>
              <w:keepNext w:val="false"/>
              <w:spacing w:after="0" w:line="260"/>
            </w:pPr>
            <w:r>
              <w:rPr>
                <w:rFonts w:ascii="Arial" w:cs="Arial" w:eastAsia="Arial" w:hAnsi="Arial"/>
                <w:b w:val="false"/>
                <w:bCs w:val="false"/>
                <w:color w:val="1D1A17"/>
                <w:sz w:val="18"/>
                <w:szCs w:val="18"/>
              </w:rPr>
              <w:t xml:space="preserve">Note the position, challenge the open items, and ask for this page again next term.</w:t>
            </w:r>
          </w:p>
        </w:tc>
      </w:tr>
    </w:tbl>
    <w:p>
      <w:pPr>
        <w:spacing w:after="160"/>
      </w:pPr>
    </w:p>
    <w:p>
      <w:pPr>
        <w:spacing w:after="140" w:line="290"/>
      </w:pPr>
      <w:r>
        <w:rPr>
          <w:rFonts w:ascii="Arial" w:cs="Arial" w:eastAsia="Arial" w:hAnsi="Arial"/>
          <w:color w:val="1D1A17"/>
          <w:sz w:val="21"/>
          <w:szCs w:val="21"/>
        </w:rPr>
        <w:t xml:space="preserve">Received and minuted at </w:t>
      </w:r>
      <w:r>
        <w:rPr>
          <w:rFonts w:ascii="Arial" w:cs="Arial" w:eastAsia="Arial" w:hAnsi="Arial"/>
          <w:color w:val="1D1A17"/>
          <w:sz w:val="21"/>
          <w:szCs w:val="21"/>
          <w:highlight w:val="yellow"/>
        </w:rPr>
        <w:t xml:space="preserve">[meeting]</w:t>
      </w:r>
      <w:r>
        <w:rPr>
          <w:rFonts w:ascii="Arial" w:cs="Arial" w:eastAsia="Arial" w:hAnsi="Arial"/>
          <w:color w:val="1D1A17"/>
          <w:sz w:val="21"/>
          <w:szCs w:val="21"/>
        </w:rPr>
        <w:t xml:space="preserve">, </w:t>
      </w:r>
      <w:r>
        <w:rPr>
          <w:rFonts w:ascii="Arial" w:cs="Arial" w:eastAsia="Arial" w:hAnsi="Arial"/>
          <w:color w:val="1D1A17"/>
          <w:sz w:val="21"/>
          <w:szCs w:val="21"/>
          <w:highlight w:val="yellow"/>
        </w:rPr>
        <w:t xml:space="preserve">[date]</w:t>
      </w:r>
      <w:r>
        <w:rPr>
          <w:rFonts w:ascii="Arial" w:cs="Arial" w:eastAsia="Arial" w:hAnsi="Arial"/>
          <w:color w:val="1D1A17"/>
          <w:sz w:val="21"/>
          <w:szCs w:val="21"/>
        </w:rPr>
        <w:t xml:space="preserve">. The minute is the record that governors are overseeing the school's approach to AI as part of their strategic responsibility for safeguarding.</w:t>
      </w:r>
    </w:p>
    <w:sectPr>
      <w:headerReference w:type="default" r:id="rId6"/>
      <w:footerReference w:type="default" r:id="rId7"/>
      <w:pgSz w:w="11906" w:h="16838" w:orient="portrait"/>
      <w:pgMar w:top="1300" w:right="1300" w:bottom="12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500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6514"/>
      <w:gridCol w:w="2792"/>
    </w:tblGrid>
    <w:tr>
      <w:tc>
        <w:tcPr>
          <w:tcW w:type="pct" w:w="3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</w:tcPr>
        <w:p>
          <w:pPr>
            <w:spacing w:after="0"/>
            <w:jc w:val="left"/>
          </w:pPr>
          <w:r>
            <w:rPr>
              <w:color w:val="3A352E"/>
              <w:sz w:val="15"/>
              <w:szCs w:val="15"/>
            </w:rPr>
            <w:t xml:space="preserve">Governor one-pager · Clause library v1.0 · Free to adapt under CC BY-NC-SA 4.0 · schoolaigovernance.co.uk</w:t>
          </w:r>
        </w:p>
      </w:tc>
      <w:tc>
        <w:tcPr>
          <w:tcW w:type="pct" w:w="1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</w:tcPr>
        <w:p>
          <w:pPr>
            <w:spacing w:after="0"/>
            <w:jc w:val="right"/>
          </w:pPr>
          <w:r>
            <w:rPr>
              <w:color w:val="3A352E"/>
              <w:sz w:val="15"/>
              <w:szCs w:val="15"/>
            </w:rPr>
            <w:t xml:space="preserve">Page </w:t>
            <w:fldChar w:fldCharType="begin"/>
            <w:instrText xml:space="preserve">PAGE</w:instrText>
            <w:fldChar w:fldCharType="separate"/>
            <w:fldChar w:fldCharType="end"/>
            <w:t xml:space="preserve"> of </w:t>
            <w:fldChar w:fldCharType="begin"/>
            <w:instrText xml:space="preserve">NUMPAGES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pct" w:w="5000"/>
      <w:tblBorders>
        <w:top w:val="none" w:color="FFFFFF" w:sz="0"/>
        <w:left w:val="none" w:color="FFFFFF" w:sz="0"/>
        <w:bottom w:val="single" w:color="CBD2DB" w:sz="4"/>
        <w:right w:val="none" w:color="FFFFFF" w:sz="0"/>
        <w:insideH w:val="none" w:color="FFFFFF" w:sz="0"/>
        <w:insideV w:val="none" w:color="FFFFFF" w:sz="0"/>
      </w:tblBorders>
    </w:tblPr>
    <w:tblGrid>
      <w:gridCol w:w="6514"/>
      <w:gridCol w:w="2792"/>
    </w:tblGrid>
    <w:tr>
      <w:tc>
        <w:tcPr>
          <w:tcW w:type="pct" w:w="3500"/>
          <w:tcBorders>
            <w:top w:val="none" w:color="FFFFFF" w:sz="0"/>
            <w:left w:val="none" w:color="FFFFFF" w:sz="0"/>
            <w:bottom w:val="single" w:color="CBD2DB" w:sz="4"/>
            <w:right w:val="none" w:color="FFFFFF" w:sz="0"/>
          </w:tcBorders>
          <w:tcMar>
            <w:top w:type="dxa" w:w="0"/>
            <w:left w:type="dxa" w:w="0"/>
            <w:bottom w:type="dxa" w:w="80"/>
            <w:right w:type="dxa" w:w="0"/>
          </w:tcMar>
        </w:tcPr>
        <w:p>
          <w:pPr>
            <w:spacing w:after="0"/>
            <w:jc w:val="left"/>
          </w:pPr>
          <w:r>
            <w:rPr>
              <w:rFonts w:ascii="Georgia" w:cs="Georgia" w:eastAsia="Georgia" w:hAnsi="Georgia"/>
              <w:color w:val="3A352E"/>
              <w:sz w:val="19"/>
              <w:szCs w:val="19"/>
            </w:rPr>
            <w:t xml:space="preserve">¶ Termly report to governors</w:t>
          </w:r>
        </w:p>
      </w:tc>
      <w:tc>
        <w:tcPr>
          <w:tcW w:type="pct" w:w="1500"/>
          <w:tcBorders>
            <w:top w:val="none" w:color="FFFFFF" w:sz="0"/>
            <w:left w:val="none" w:color="FFFFFF" w:sz="0"/>
            <w:bottom w:val="single" w:color="CBD2DB" w:sz="4"/>
            <w:right w:val="none" w:color="FFFFFF" w:sz="0"/>
          </w:tcBorders>
          <w:tcMar>
            <w:top w:type="dxa" w:w="0"/>
            <w:left w:type="dxa" w:w="0"/>
            <w:bottom w:type="dxa" w:w="80"/>
            <w:right w:type="dxa" w:w="0"/>
          </w:tcMar>
        </w:tcPr>
        <w:p>
          <w:pPr>
            <w:spacing w:after="0"/>
            <w:jc w:val="right"/>
          </w:pPr>
          <w:r>
            <w:rPr>
              <w:rFonts w:ascii="Georgia" w:cs="Georgia" w:eastAsia="Georgia" w:hAnsi="Georgia"/>
              <w:color w:val="3A352E"/>
              <w:sz w:val="19"/>
              <w:szCs w:val="19"/>
              <w:highlight w:val="yellow"/>
            </w:rPr>
            <w:t xml:space="preserve">[School name]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D1A17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Governor one-pager</dc:title>
  <dc:creator>schoolaigovernance.co.uk</dc:creator>
  <dc:description>Section 3 of the AI policy: the termly report to governors</dc:description>
  <cp:lastModifiedBy>Un-named</cp:lastModifiedBy>
  <cp:revision>1</cp:revision>
  <dcterms:created xsi:type="dcterms:W3CDTF">2026-11-07T23:11:54.197Z</dcterms:created>
  <dcterms:modified xsi:type="dcterms:W3CDTF">2026-11-07T23:11:54.197Z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